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C0C749" w14:textId="44D97183" w:rsidR="00BB010B" w:rsidRPr="00F07725" w:rsidRDefault="00BB010B" w:rsidP="00BB010B">
      <w:pPr>
        <w:tabs>
          <w:tab w:val="left" w:pos="360"/>
        </w:tabs>
        <w:spacing w:before="120" w:after="120" w:line="240" w:lineRule="exact"/>
        <w:jc w:val="center"/>
        <w:rPr>
          <w:rFonts w:cs="Arial"/>
          <w:caps/>
          <w:szCs w:val="24"/>
        </w:rPr>
      </w:pPr>
      <w:r w:rsidRPr="00F07725">
        <w:rPr>
          <w:rFonts w:cs="Arial"/>
          <w:b/>
          <w:caps/>
          <w:szCs w:val="24"/>
        </w:rPr>
        <w:t>Příloha</w:t>
      </w:r>
      <w:r w:rsidR="009F1268">
        <w:rPr>
          <w:rFonts w:cs="Arial"/>
          <w:b/>
          <w:caps/>
          <w:szCs w:val="24"/>
        </w:rPr>
        <w:t xml:space="preserve"> Č. 4</w:t>
      </w:r>
      <w:bookmarkStart w:id="0" w:name="_GoBack"/>
      <w:bookmarkEnd w:id="0"/>
      <w:r w:rsidRPr="00F07725">
        <w:rPr>
          <w:rFonts w:cs="Arial"/>
          <w:b/>
          <w:caps/>
          <w:szCs w:val="24"/>
        </w:rPr>
        <w:t xml:space="preserve"> </w:t>
      </w:r>
      <w:r>
        <w:rPr>
          <w:rFonts w:cs="Arial"/>
          <w:b/>
          <w:caps/>
          <w:szCs w:val="24"/>
        </w:rPr>
        <w:t>–</w:t>
      </w:r>
      <w:r w:rsidRPr="00F07725">
        <w:rPr>
          <w:rFonts w:cs="Arial"/>
          <w:b/>
          <w:caps/>
          <w:szCs w:val="24"/>
        </w:rPr>
        <w:t xml:space="preserve"> te</w:t>
      </w:r>
      <w:r>
        <w:rPr>
          <w:rFonts w:cs="Arial"/>
          <w:b/>
          <w:caps/>
          <w:szCs w:val="24"/>
        </w:rPr>
        <w:t>chnická specifikace</w:t>
      </w:r>
    </w:p>
    <w:p w14:paraId="33C0C74A" w14:textId="77777777" w:rsidR="00BB010B" w:rsidRDefault="00BB010B" w:rsidP="00BB010B"/>
    <w:p w14:paraId="33C0C74B" w14:textId="77777777" w:rsidR="00BB010B" w:rsidRDefault="00BB010B" w:rsidP="00BB010B">
      <w:pPr>
        <w:tabs>
          <w:tab w:val="left" w:pos="360"/>
        </w:tabs>
        <w:spacing w:before="120" w:after="120" w:line="240" w:lineRule="exact"/>
        <w:jc w:val="both"/>
        <w:rPr>
          <w:rFonts w:cs="Arial"/>
          <w:szCs w:val="24"/>
        </w:rPr>
      </w:pPr>
      <w:r>
        <w:rPr>
          <w:rFonts w:cs="Arial"/>
          <w:b/>
          <w:szCs w:val="24"/>
        </w:rPr>
        <w:t>Technická specifikace -  kobercové krytiny</w:t>
      </w:r>
      <w:r>
        <w:rPr>
          <w:rFonts w:cs="Arial"/>
          <w:szCs w:val="24"/>
        </w:rPr>
        <w:t xml:space="preserve">:       </w:t>
      </w:r>
    </w:p>
    <w:p w14:paraId="33C0C74C" w14:textId="77777777" w:rsidR="00BB010B" w:rsidRDefault="00BB010B" w:rsidP="00BB010B">
      <w:pPr>
        <w:tabs>
          <w:tab w:val="left" w:pos="360"/>
        </w:tabs>
        <w:spacing w:before="120" w:after="120" w:line="240" w:lineRule="exact"/>
        <w:jc w:val="both"/>
        <w:rPr>
          <w:rFonts w:cs="Arial"/>
          <w:szCs w:val="24"/>
        </w:rPr>
      </w:pPr>
    </w:p>
    <w:p w14:paraId="33C0C74D" w14:textId="77777777" w:rsidR="00BB010B" w:rsidRDefault="00BB010B" w:rsidP="00BB010B">
      <w:pPr>
        <w:numPr>
          <w:ilvl w:val="0"/>
          <w:numId w:val="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360"/>
        </w:tabs>
        <w:suppressAutoHyphens/>
        <w:spacing w:before="120" w:after="120" w:line="240" w:lineRule="exact"/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Konstrukce – všívaný smyčkový </w:t>
      </w:r>
    </w:p>
    <w:p w14:paraId="33C0C74E" w14:textId="77777777" w:rsidR="00BB010B" w:rsidRDefault="00BB010B" w:rsidP="00BB010B">
      <w:pPr>
        <w:numPr>
          <w:ilvl w:val="0"/>
          <w:numId w:val="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360"/>
        </w:tabs>
        <w:suppressAutoHyphens/>
        <w:spacing w:before="120" w:after="120" w:line="240" w:lineRule="exact"/>
        <w:jc w:val="both"/>
        <w:rPr>
          <w:rFonts w:cs="Arial"/>
          <w:szCs w:val="24"/>
        </w:rPr>
      </w:pPr>
      <w:r w:rsidRPr="00A846E9">
        <w:rPr>
          <w:rFonts w:cs="Arial"/>
          <w:szCs w:val="24"/>
        </w:rPr>
        <w:t xml:space="preserve">Materiál vlasu – 100% hloubkově barvený Polyamid </w:t>
      </w:r>
    </w:p>
    <w:p w14:paraId="33C0C74F" w14:textId="77777777" w:rsidR="00BB010B" w:rsidRDefault="00BB010B" w:rsidP="00BB010B">
      <w:pPr>
        <w:numPr>
          <w:ilvl w:val="0"/>
          <w:numId w:val="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360"/>
        </w:tabs>
        <w:suppressAutoHyphens/>
        <w:spacing w:before="120" w:after="120" w:line="240" w:lineRule="exact"/>
        <w:jc w:val="both"/>
        <w:rPr>
          <w:rFonts w:cs="Arial"/>
          <w:szCs w:val="24"/>
        </w:rPr>
      </w:pPr>
      <w:r w:rsidRPr="00A846E9">
        <w:rPr>
          <w:rFonts w:cs="Arial"/>
          <w:szCs w:val="24"/>
        </w:rPr>
        <w:t>Podkladová vrstva- – bitumen se skelnými vlákny</w:t>
      </w:r>
    </w:p>
    <w:p w14:paraId="33C0C750" w14:textId="77777777" w:rsidR="00BB010B" w:rsidRDefault="00BB010B" w:rsidP="00BB010B">
      <w:pPr>
        <w:numPr>
          <w:ilvl w:val="0"/>
          <w:numId w:val="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360"/>
        </w:tabs>
        <w:suppressAutoHyphens/>
        <w:spacing w:before="120" w:after="120" w:line="240" w:lineRule="exact"/>
        <w:jc w:val="both"/>
        <w:rPr>
          <w:rFonts w:cs="Arial"/>
          <w:szCs w:val="24"/>
        </w:rPr>
      </w:pPr>
      <w:r>
        <w:rPr>
          <w:rFonts w:cs="Arial"/>
          <w:szCs w:val="24"/>
        </w:rPr>
        <w:t>Celková hmotnost min 4300</w:t>
      </w:r>
      <w:r w:rsidRPr="00A846E9">
        <w:rPr>
          <w:rFonts w:cs="Arial"/>
          <w:szCs w:val="24"/>
        </w:rPr>
        <w:t>g/m2</w:t>
      </w:r>
    </w:p>
    <w:p w14:paraId="33C0C751" w14:textId="77777777" w:rsidR="00BB010B" w:rsidRDefault="00BB010B" w:rsidP="00BB010B">
      <w:pPr>
        <w:numPr>
          <w:ilvl w:val="0"/>
          <w:numId w:val="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360"/>
        </w:tabs>
        <w:suppressAutoHyphens/>
        <w:spacing w:before="120" w:after="120" w:line="240" w:lineRule="exact"/>
        <w:jc w:val="both"/>
        <w:rPr>
          <w:rFonts w:cs="Arial"/>
          <w:szCs w:val="24"/>
        </w:rPr>
      </w:pPr>
      <w:r w:rsidRPr="00A846E9">
        <w:rPr>
          <w:rFonts w:cs="Arial"/>
          <w:szCs w:val="24"/>
        </w:rPr>
        <w:t>Gramáž vlasu min 550 g/m2</w:t>
      </w:r>
    </w:p>
    <w:p w14:paraId="33C0C752" w14:textId="77777777" w:rsidR="00BB010B" w:rsidRDefault="00BB010B" w:rsidP="00BB010B">
      <w:pPr>
        <w:numPr>
          <w:ilvl w:val="0"/>
          <w:numId w:val="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360"/>
        </w:tabs>
        <w:suppressAutoHyphens/>
        <w:spacing w:before="120" w:after="120" w:line="240" w:lineRule="exact"/>
        <w:jc w:val="both"/>
        <w:rPr>
          <w:rFonts w:cs="Arial"/>
          <w:szCs w:val="24"/>
        </w:rPr>
      </w:pPr>
      <w:r w:rsidRPr="00A846E9">
        <w:rPr>
          <w:rFonts w:cs="Arial"/>
          <w:szCs w:val="24"/>
        </w:rPr>
        <w:t>Celková výška cca min 6,</w:t>
      </w:r>
      <w:r>
        <w:rPr>
          <w:rFonts w:cs="Arial"/>
          <w:szCs w:val="24"/>
        </w:rPr>
        <w:t>5</w:t>
      </w:r>
      <w:r w:rsidRPr="00A846E9">
        <w:rPr>
          <w:rFonts w:cs="Arial"/>
          <w:szCs w:val="24"/>
        </w:rPr>
        <w:t xml:space="preserve"> mm</w:t>
      </w:r>
    </w:p>
    <w:p w14:paraId="33C0C753" w14:textId="77777777" w:rsidR="00BB010B" w:rsidRDefault="00BB010B" w:rsidP="00BB010B">
      <w:pPr>
        <w:numPr>
          <w:ilvl w:val="0"/>
          <w:numId w:val="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360"/>
        </w:tabs>
        <w:suppressAutoHyphens/>
        <w:spacing w:before="120" w:after="120" w:line="240" w:lineRule="exact"/>
        <w:jc w:val="both"/>
        <w:rPr>
          <w:rFonts w:cs="Arial"/>
          <w:szCs w:val="24"/>
        </w:rPr>
      </w:pPr>
      <w:r>
        <w:rPr>
          <w:rFonts w:cs="Arial"/>
          <w:szCs w:val="24"/>
        </w:rPr>
        <w:t>Výška vlákna min 3,5</w:t>
      </w:r>
      <w:r w:rsidRPr="00A846E9">
        <w:rPr>
          <w:rFonts w:cs="Arial"/>
          <w:szCs w:val="24"/>
        </w:rPr>
        <w:t xml:space="preserve"> mm</w:t>
      </w:r>
    </w:p>
    <w:p w14:paraId="33C0C754" w14:textId="77777777" w:rsidR="00BB010B" w:rsidRDefault="00BB010B" w:rsidP="00BB010B">
      <w:pPr>
        <w:numPr>
          <w:ilvl w:val="0"/>
          <w:numId w:val="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360"/>
        </w:tabs>
        <w:suppressAutoHyphens/>
        <w:spacing w:before="120" w:after="120" w:line="240" w:lineRule="exact"/>
        <w:jc w:val="both"/>
        <w:rPr>
          <w:rFonts w:cs="Arial"/>
          <w:szCs w:val="24"/>
        </w:rPr>
      </w:pPr>
      <w:r w:rsidRPr="00A846E9">
        <w:rPr>
          <w:rFonts w:cs="Arial"/>
          <w:szCs w:val="24"/>
        </w:rPr>
        <w:t>Použití: schodiště, velkoprostorové kanceláře</w:t>
      </w:r>
      <w:r>
        <w:rPr>
          <w:rFonts w:cs="Arial"/>
          <w:szCs w:val="24"/>
        </w:rPr>
        <w:t xml:space="preserve">, </w:t>
      </w:r>
    </w:p>
    <w:p w14:paraId="33C0C755" w14:textId="77777777" w:rsidR="00BB010B" w:rsidRPr="00BB2150" w:rsidRDefault="00BB010B" w:rsidP="00BB010B">
      <w:pPr>
        <w:numPr>
          <w:ilvl w:val="0"/>
          <w:numId w:val="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360"/>
        </w:tabs>
        <w:suppressAutoHyphens/>
        <w:spacing w:before="120" w:after="120" w:line="240" w:lineRule="exact"/>
        <w:jc w:val="both"/>
        <w:rPr>
          <w:rFonts w:cs="Arial"/>
          <w:szCs w:val="24"/>
        </w:rPr>
      </w:pPr>
      <w:r w:rsidRPr="00BB2150">
        <w:rPr>
          <w:rFonts w:cs="Arial"/>
          <w:szCs w:val="24"/>
        </w:rPr>
        <w:t>Odolnost: kolečkovou židli – EN 985/A - ANO</w:t>
      </w:r>
    </w:p>
    <w:p w14:paraId="33C0C756" w14:textId="77777777" w:rsidR="00BB010B" w:rsidRDefault="00BB010B" w:rsidP="00BB010B">
      <w:pPr>
        <w:numPr>
          <w:ilvl w:val="0"/>
          <w:numId w:val="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360"/>
        </w:tabs>
        <w:suppressAutoHyphens/>
        <w:spacing w:before="120" w:after="120" w:line="240" w:lineRule="exact"/>
        <w:jc w:val="both"/>
        <w:rPr>
          <w:rFonts w:cs="Arial"/>
          <w:szCs w:val="24"/>
        </w:rPr>
      </w:pPr>
      <w:r>
        <w:rPr>
          <w:rFonts w:cs="Arial"/>
          <w:szCs w:val="24"/>
        </w:rPr>
        <w:t>Min. počet vpichů 193.600/m</w:t>
      </w:r>
      <w:r>
        <w:rPr>
          <w:rFonts w:cs="Arial"/>
          <w:szCs w:val="24"/>
          <w:vertAlign w:val="superscript"/>
        </w:rPr>
        <w:t>2</w:t>
      </w:r>
    </w:p>
    <w:p w14:paraId="33C0C757" w14:textId="77777777" w:rsidR="00BB010B" w:rsidRDefault="00BB010B" w:rsidP="00BB010B">
      <w:pPr>
        <w:numPr>
          <w:ilvl w:val="0"/>
          <w:numId w:val="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360"/>
        </w:tabs>
        <w:suppressAutoHyphens/>
        <w:spacing w:before="120" w:after="120" w:line="240" w:lineRule="exact"/>
        <w:jc w:val="both"/>
        <w:rPr>
          <w:rFonts w:cs="Arial"/>
          <w:szCs w:val="24"/>
        </w:rPr>
      </w:pPr>
      <w:r w:rsidRPr="00A846E9">
        <w:rPr>
          <w:rFonts w:cs="Arial"/>
          <w:szCs w:val="24"/>
        </w:rPr>
        <w:t>Stupeň hořlavosti B (fl) – S1</w:t>
      </w:r>
    </w:p>
    <w:p w14:paraId="33C0C758" w14:textId="77777777" w:rsidR="00BB010B" w:rsidRDefault="00BB010B" w:rsidP="00BB010B">
      <w:pPr>
        <w:numPr>
          <w:ilvl w:val="0"/>
          <w:numId w:val="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360"/>
        </w:tabs>
        <w:suppressAutoHyphens/>
        <w:spacing w:before="120" w:after="120" w:line="240" w:lineRule="exact"/>
        <w:jc w:val="both"/>
        <w:rPr>
          <w:rFonts w:cs="Arial"/>
          <w:szCs w:val="24"/>
        </w:rPr>
      </w:pPr>
      <w:r w:rsidRPr="00A846E9">
        <w:rPr>
          <w:rFonts w:cs="Arial"/>
          <w:szCs w:val="24"/>
        </w:rPr>
        <w:t>Třída zátěže EN 1307, min. 33</w:t>
      </w:r>
    </w:p>
    <w:p w14:paraId="33C0C759" w14:textId="77777777" w:rsidR="00BB010B" w:rsidRDefault="00BB010B" w:rsidP="00BB010B">
      <w:pPr>
        <w:numPr>
          <w:ilvl w:val="0"/>
          <w:numId w:val="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360"/>
        </w:tabs>
        <w:suppressAutoHyphens/>
        <w:spacing w:before="120" w:after="120" w:line="240" w:lineRule="exact"/>
        <w:jc w:val="both"/>
        <w:rPr>
          <w:rFonts w:cs="Arial"/>
          <w:szCs w:val="24"/>
        </w:rPr>
      </w:pPr>
      <w:r w:rsidRPr="00A846E9">
        <w:rPr>
          <w:rFonts w:cs="Arial"/>
          <w:szCs w:val="24"/>
        </w:rPr>
        <w:t>Objektové čtverce 50x50 cm</w:t>
      </w:r>
    </w:p>
    <w:p w14:paraId="33C0C75A" w14:textId="77777777" w:rsidR="00BB010B" w:rsidRDefault="00BB010B" w:rsidP="00BB010B">
      <w:pPr>
        <w:numPr>
          <w:ilvl w:val="0"/>
          <w:numId w:val="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360"/>
        </w:tabs>
        <w:suppressAutoHyphens/>
        <w:spacing w:before="120" w:after="120" w:line="240" w:lineRule="exact"/>
        <w:jc w:val="both"/>
        <w:rPr>
          <w:rFonts w:cs="Arial"/>
          <w:szCs w:val="24"/>
        </w:rPr>
      </w:pPr>
      <w:r w:rsidRPr="00A846E9">
        <w:rPr>
          <w:rFonts w:cs="Arial"/>
          <w:szCs w:val="24"/>
        </w:rPr>
        <w:t>Odolnost elektrostatická horizontální: 10</w:t>
      </w:r>
      <w:r>
        <w:rPr>
          <w:rFonts w:cs="Arial"/>
          <w:szCs w:val="24"/>
          <w:vertAlign w:val="superscript"/>
        </w:rPr>
        <w:t>8</w:t>
      </w:r>
      <w:r w:rsidRPr="00A846E9">
        <w:rPr>
          <w:rFonts w:cs="Arial"/>
          <w:szCs w:val="24"/>
          <w:vertAlign w:val="superscript"/>
        </w:rPr>
        <w:t xml:space="preserve"> </w:t>
      </w:r>
      <w:r w:rsidRPr="00A846E9">
        <w:rPr>
          <w:rFonts w:ascii="Tahoma" w:hAnsi="Tahoma" w:cs="Arial"/>
          <w:szCs w:val="24"/>
          <w:vertAlign w:val="superscript"/>
        </w:rPr>
        <w:t>Ω</w:t>
      </w:r>
      <w:r w:rsidRPr="00A846E9">
        <w:rPr>
          <w:rFonts w:cs="Arial"/>
          <w:szCs w:val="24"/>
          <w:vertAlign w:val="superscript"/>
        </w:rPr>
        <w:t xml:space="preserve"> </w:t>
      </w:r>
      <w:r w:rsidRPr="00A846E9">
        <w:rPr>
          <w:rFonts w:cs="Arial"/>
          <w:szCs w:val="24"/>
        </w:rPr>
        <w:t xml:space="preserve"> </w:t>
      </w:r>
    </w:p>
    <w:p w14:paraId="33C0C75B" w14:textId="77777777" w:rsidR="00BB010B" w:rsidRDefault="00BB010B" w:rsidP="00BB010B">
      <w:pPr>
        <w:numPr>
          <w:ilvl w:val="0"/>
          <w:numId w:val="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360"/>
        </w:tabs>
        <w:suppressAutoHyphens/>
        <w:spacing w:before="120" w:after="120" w:line="240" w:lineRule="exact"/>
        <w:jc w:val="both"/>
        <w:rPr>
          <w:rFonts w:cs="Arial"/>
          <w:szCs w:val="24"/>
        </w:rPr>
      </w:pPr>
      <w:r w:rsidRPr="00A846E9">
        <w:rPr>
          <w:rFonts w:cs="Arial"/>
          <w:szCs w:val="24"/>
        </w:rPr>
        <w:t>Pochozí test -</w:t>
      </w:r>
      <w:r>
        <w:rPr>
          <w:rFonts w:cs="Arial"/>
          <w:szCs w:val="24"/>
        </w:rPr>
        <w:t xml:space="preserve"> </w:t>
      </w:r>
      <w:r w:rsidRPr="00A846E9">
        <w:rPr>
          <w:rFonts w:cs="Arial"/>
          <w:szCs w:val="24"/>
        </w:rPr>
        <w:t>0,</w:t>
      </w:r>
      <w:r>
        <w:rPr>
          <w:rFonts w:cs="Arial"/>
          <w:szCs w:val="24"/>
        </w:rPr>
        <w:t>1</w:t>
      </w:r>
      <w:r w:rsidRPr="00A846E9">
        <w:rPr>
          <w:rFonts w:cs="Arial"/>
          <w:szCs w:val="24"/>
        </w:rPr>
        <w:t xml:space="preserve"> KV, ISO 6356</w:t>
      </w:r>
    </w:p>
    <w:p w14:paraId="33C0C75C" w14:textId="77777777" w:rsidR="00BB010B" w:rsidRDefault="00BB010B" w:rsidP="00BB010B">
      <w:pPr>
        <w:numPr>
          <w:ilvl w:val="0"/>
          <w:numId w:val="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360"/>
        </w:tabs>
        <w:suppressAutoHyphens/>
        <w:spacing w:before="120" w:after="120" w:line="240" w:lineRule="exact"/>
        <w:jc w:val="both"/>
        <w:rPr>
          <w:rFonts w:cs="Arial"/>
          <w:szCs w:val="24"/>
        </w:rPr>
      </w:pPr>
      <w:r w:rsidRPr="00A846E9">
        <w:rPr>
          <w:rFonts w:cs="Arial"/>
          <w:szCs w:val="24"/>
        </w:rPr>
        <w:t>Antistatický IBM/ICL</w:t>
      </w:r>
    </w:p>
    <w:p w14:paraId="33C0C75D" w14:textId="77777777" w:rsidR="00BB010B" w:rsidRDefault="00BB010B" w:rsidP="00BB010B">
      <w:pPr>
        <w:numPr>
          <w:ilvl w:val="0"/>
          <w:numId w:val="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360"/>
        </w:tabs>
        <w:suppressAutoHyphens/>
        <w:spacing w:before="120" w:after="120" w:line="240" w:lineRule="exact"/>
        <w:jc w:val="both"/>
        <w:rPr>
          <w:rFonts w:cs="Arial"/>
          <w:szCs w:val="24"/>
        </w:rPr>
      </w:pPr>
      <w:r w:rsidRPr="00A846E9">
        <w:rPr>
          <w:rFonts w:cs="Arial"/>
          <w:szCs w:val="24"/>
        </w:rPr>
        <w:t>Stálobarevnost</w:t>
      </w:r>
      <w:r>
        <w:rPr>
          <w:rFonts w:cs="Arial"/>
          <w:szCs w:val="24"/>
        </w:rPr>
        <w:t xml:space="preserve"> </w:t>
      </w:r>
      <w:r w:rsidRPr="00A846E9">
        <w:rPr>
          <w:rFonts w:cs="Arial"/>
          <w:szCs w:val="24"/>
        </w:rPr>
        <w:t xml:space="preserve">- odolnost oděru dle ISO 105 X12   min. </w:t>
      </w:r>
      <w:r>
        <w:t xml:space="preserve"> ≥</w:t>
      </w:r>
      <w:r w:rsidRPr="00A846E9">
        <w:rPr>
          <w:rFonts w:cs="Arial"/>
          <w:szCs w:val="24"/>
        </w:rPr>
        <w:t>5</w:t>
      </w:r>
    </w:p>
    <w:p w14:paraId="33C0C75E" w14:textId="77777777" w:rsidR="00BB010B" w:rsidRDefault="00BB010B" w:rsidP="00BB010B">
      <w:pPr>
        <w:numPr>
          <w:ilvl w:val="0"/>
          <w:numId w:val="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360"/>
        </w:tabs>
        <w:suppressAutoHyphens/>
        <w:spacing w:before="120" w:after="120" w:line="240" w:lineRule="exact"/>
        <w:jc w:val="both"/>
        <w:rPr>
          <w:rFonts w:cs="Arial"/>
          <w:szCs w:val="24"/>
        </w:rPr>
      </w:pPr>
      <w:r w:rsidRPr="00A846E9">
        <w:rPr>
          <w:rFonts w:cs="Arial"/>
          <w:szCs w:val="24"/>
        </w:rPr>
        <w:t>Stálobarevnost na světle ISO 105B02  ≥6</w:t>
      </w:r>
    </w:p>
    <w:p w14:paraId="33C0C75F" w14:textId="77777777" w:rsidR="00BB010B" w:rsidRDefault="00BB010B" w:rsidP="00BB010B">
      <w:pPr>
        <w:numPr>
          <w:ilvl w:val="0"/>
          <w:numId w:val="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360"/>
        </w:tabs>
        <w:suppressAutoHyphens/>
        <w:spacing w:before="120" w:after="120" w:line="240" w:lineRule="exact"/>
        <w:jc w:val="both"/>
        <w:rPr>
          <w:rFonts w:cs="Arial"/>
          <w:szCs w:val="24"/>
        </w:rPr>
      </w:pPr>
      <w:r w:rsidRPr="00A846E9">
        <w:rPr>
          <w:rFonts w:cs="Arial"/>
          <w:szCs w:val="24"/>
        </w:rPr>
        <w:t>Rozměrová stálost ISO 2551  ≤ 0,20%</w:t>
      </w:r>
    </w:p>
    <w:p w14:paraId="33C0C760" w14:textId="77777777" w:rsidR="00BB010B" w:rsidRPr="000A61E3" w:rsidRDefault="00BB010B" w:rsidP="00BB010B">
      <w:pPr>
        <w:numPr>
          <w:ilvl w:val="0"/>
          <w:numId w:val="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360"/>
        </w:tabs>
        <w:suppressAutoHyphens/>
        <w:spacing w:before="120" w:after="120" w:line="240" w:lineRule="exact"/>
        <w:jc w:val="both"/>
        <w:rPr>
          <w:rFonts w:cs="Arial"/>
          <w:szCs w:val="24"/>
        </w:rPr>
      </w:pPr>
      <w:r>
        <w:rPr>
          <w:rFonts w:cs="Arial"/>
          <w:szCs w:val="24"/>
        </w:rPr>
        <w:t>Barevnost – d</w:t>
      </w:r>
      <w:r w:rsidRPr="00BB2150">
        <w:rPr>
          <w:rFonts w:cs="Arial"/>
          <w:szCs w:val="24"/>
        </w:rPr>
        <w:t xml:space="preserve">odání vzorkovnice nabízených koberců, </w:t>
      </w:r>
      <w:r>
        <w:rPr>
          <w:rFonts w:cs="Arial"/>
          <w:szCs w:val="24"/>
        </w:rPr>
        <w:t>která</w:t>
      </w:r>
      <w:r w:rsidRPr="00BB2150">
        <w:rPr>
          <w:rFonts w:cs="Arial"/>
          <w:szCs w:val="24"/>
        </w:rPr>
        <w:t xml:space="preserve"> musí obsahovat, minimálně 5 základních barev </w:t>
      </w:r>
      <w:r>
        <w:rPr>
          <w:rFonts w:cs="Arial"/>
          <w:szCs w:val="24"/>
        </w:rPr>
        <w:t xml:space="preserve">- </w:t>
      </w:r>
      <w:r w:rsidRPr="00BB2150">
        <w:rPr>
          <w:rFonts w:cs="Arial"/>
          <w:szCs w:val="24"/>
        </w:rPr>
        <w:t>modrá, červená, zelená, šedá, hnědá</w:t>
      </w:r>
      <w:r>
        <w:rPr>
          <w:rFonts w:cs="Arial"/>
          <w:szCs w:val="24"/>
        </w:rPr>
        <w:t xml:space="preserve"> v jednobarevném provedení (další nabídnuté barvy a kombinace barev (vzory) v dodaném vzorníku bude dodavatel dodávat za stejné ceny)</w:t>
      </w:r>
    </w:p>
    <w:p w14:paraId="33C0C761" w14:textId="77777777" w:rsidR="00BB010B" w:rsidRDefault="00BB010B" w:rsidP="00BB010B">
      <w:pPr>
        <w:tabs>
          <w:tab w:val="left" w:pos="360"/>
        </w:tabs>
        <w:spacing w:before="120" w:after="120" w:line="240" w:lineRule="exact"/>
        <w:jc w:val="both"/>
        <w:rPr>
          <w:rFonts w:cs="Arial"/>
          <w:szCs w:val="24"/>
        </w:rPr>
      </w:pPr>
    </w:p>
    <w:p w14:paraId="33C0C762" w14:textId="77777777" w:rsidR="00BB010B" w:rsidRPr="00A846E9" w:rsidRDefault="00BB010B" w:rsidP="00BB010B">
      <w:pPr>
        <w:tabs>
          <w:tab w:val="left" w:pos="360"/>
        </w:tabs>
        <w:spacing w:before="120" w:after="120" w:line="240" w:lineRule="exact"/>
        <w:jc w:val="both"/>
        <w:rPr>
          <w:rFonts w:cs="Arial"/>
          <w:szCs w:val="24"/>
        </w:rPr>
      </w:pPr>
      <w:r>
        <w:rPr>
          <w:rFonts w:cs="Arial"/>
          <w:b/>
          <w:szCs w:val="24"/>
        </w:rPr>
        <w:t>Technická specifikace -  PVC:</w:t>
      </w:r>
    </w:p>
    <w:p w14:paraId="33C0C763" w14:textId="77777777" w:rsidR="00BB010B" w:rsidRDefault="00BB010B" w:rsidP="00BB010B">
      <w:pPr>
        <w:tabs>
          <w:tab w:val="left" w:pos="360"/>
        </w:tabs>
        <w:spacing w:before="120" w:after="120" w:line="240" w:lineRule="exact"/>
        <w:jc w:val="both"/>
        <w:rPr>
          <w:rFonts w:cs="Arial"/>
          <w:szCs w:val="24"/>
        </w:rPr>
      </w:pPr>
    </w:p>
    <w:p w14:paraId="33C0C764" w14:textId="77777777" w:rsidR="00BB010B" w:rsidRDefault="00BB010B" w:rsidP="00BB010B">
      <w:pPr>
        <w:numPr>
          <w:ilvl w:val="0"/>
          <w:numId w:val="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360"/>
        </w:tabs>
        <w:suppressAutoHyphens/>
        <w:spacing w:before="120" w:after="120" w:line="240" w:lineRule="exact"/>
        <w:jc w:val="both"/>
        <w:rPr>
          <w:rFonts w:cs="Arial"/>
          <w:szCs w:val="24"/>
        </w:rPr>
      </w:pPr>
      <w:r>
        <w:rPr>
          <w:rFonts w:cs="Arial"/>
          <w:szCs w:val="24"/>
        </w:rPr>
        <w:t>Třída zátěže, min. 33</w:t>
      </w:r>
    </w:p>
    <w:p w14:paraId="33C0C765" w14:textId="77777777" w:rsidR="00BB010B" w:rsidRDefault="00BB010B" w:rsidP="00BB010B">
      <w:pPr>
        <w:numPr>
          <w:ilvl w:val="0"/>
          <w:numId w:val="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360"/>
        </w:tabs>
        <w:suppressAutoHyphens/>
        <w:spacing w:before="120" w:after="120" w:line="240" w:lineRule="exact"/>
        <w:jc w:val="both"/>
        <w:rPr>
          <w:rFonts w:cs="Arial"/>
          <w:szCs w:val="24"/>
        </w:rPr>
      </w:pPr>
      <w:r w:rsidRPr="00A846E9">
        <w:rPr>
          <w:rFonts w:cs="Arial"/>
          <w:szCs w:val="24"/>
        </w:rPr>
        <w:t>Stupeň hořlavosti B (fl) – S1</w:t>
      </w:r>
    </w:p>
    <w:p w14:paraId="33C0C766" w14:textId="77777777" w:rsidR="00BB010B" w:rsidRDefault="00BB010B" w:rsidP="00BB010B">
      <w:pPr>
        <w:numPr>
          <w:ilvl w:val="0"/>
          <w:numId w:val="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360"/>
        </w:tabs>
        <w:suppressAutoHyphens/>
        <w:spacing w:before="120" w:after="120" w:line="240" w:lineRule="exact"/>
        <w:jc w:val="both"/>
        <w:rPr>
          <w:rFonts w:cs="Arial"/>
          <w:szCs w:val="24"/>
        </w:rPr>
      </w:pPr>
      <w:r>
        <w:rPr>
          <w:rFonts w:cs="Arial"/>
          <w:szCs w:val="24"/>
        </w:rPr>
        <w:t>Rozměrová stálost EN434</w:t>
      </w:r>
      <w:r w:rsidRPr="00A846E9">
        <w:rPr>
          <w:rFonts w:cs="Arial"/>
          <w:szCs w:val="24"/>
        </w:rPr>
        <w:t xml:space="preserve">  </w:t>
      </w:r>
      <w:r>
        <w:rPr>
          <w:rFonts w:cs="Arial"/>
          <w:szCs w:val="24"/>
        </w:rPr>
        <w:t>0,05</w:t>
      </w:r>
      <w:r w:rsidRPr="00A846E9">
        <w:rPr>
          <w:rFonts w:cs="Arial"/>
          <w:szCs w:val="24"/>
        </w:rPr>
        <w:t>%</w:t>
      </w:r>
    </w:p>
    <w:p w14:paraId="33C0C767" w14:textId="77777777" w:rsidR="00BB010B" w:rsidRDefault="00BB010B" w:rsidP="00BB010B">
      <w:pPr>
        <w:numPr>
          <w:ilvl w:val="0"/>
          <w:numId w:val="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360"/>
        </w:tabs>
        <w:suppressAutoHyphens/>
        <w:spacing w:before="120" w:after="120" w:line="240" w:lineRule="exact"/>
        <w:jc w:val="both"/>
        <w:rPr>
          <w:rFonts w:cs="Arial"/>
          <w:szCs w:val="24"/>
        </w:rPr>
      </w:pPr>
      <w:r w:rsidRPr="00A846E9">
        <w:rPr>
          <w:rFonts w:cs="Arial"/>
          <w:szCs w:val="24"/>
        </w:rPr>
        <w:t>Stálobarevnost na světle ISO 105B02  6</w:t>
      </w:r>
    </w:p>
    <w:p w14:paraId="33C0C768" w14:textId="77777777" w:rsidR="00BB010B" w:rsidRDefault="00BB010B" w:rsidP="00BB010B">
      <w:pPr>
        <w:numPr>
          <w:ilvl w:val="0"/>
          <w:numId w:val="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360"/>
        </w:tabs>
        <w:suppressAutoHyphens/>
        <w:spacing w:before="120" w:after="120" w:line="240" w:lineRule="exact"/>
        <w:jc w:val="both"/>
        <w:rPr>
          <w:rFonts w:cs="Arial"/>
          <w:szCs w:val="24"/>
        </w:rPr>
      </w:pPr>
      <w:r w:rsidRPr="00A846E9">
        <w:rPr>
          <w:rFonts w:cs="Arial"/>
          <w:szCs w:val="24"/>
        </w:rPr>
        <w:t>Odolnost elektrostatická horizontální: 10</w:t>
      </w:r>
      <w:r w:rsidRPr="00A846E9">
        <w:rPr>
          <w:rFonts w:cs="Arial"/>
          <w:szCs w:val="24"/>
          <w:vertAlign w:val="superscript"/>
        </w:rPr>
        <w:t xml:space="preserve">9 </w:t>
      </w:r>
      <w:r w:rsidRPr="00A846E9">
        <w:rPr>
          <w:rFonts w:ascii="Tahoma" w:hAnsi="Tahoma" w:cs="Arial"/>
          <w:szCs w:val="24"/>
          <w:vertAlign w:val="superscript"/>
        </w:rPr>
        <w:t>Ω</w:t>
      </w:r>
      <w:r w:rsidRPr="00A846E9">
        <w:rPr>
          <w:rFonts w:cs="Arial"/>
          <w:szCs w:val="24"/>
          <w:vertAlign w:val="superscript"/>
        </w:rPr>
        <w:t xml:space="preserve"> </w:t>
      </w:r>
      <w:r w:rsidRPr="00A846E9">
        <w:rPr>
          <w:rFonts w:cs="Arial"/>
          <w:szCs w:val="24"/>
        </w:rPr>
        <w:t xml:space="preserve"> </w:t>
      </w:r>
    </w:p>
    <w:p w14:paraId="33C0C769" w14:textId="77777777" w:rsidR="00BB010B" w:rsidRPr="00584A5B" w:rsidRDefault="00BB010B" w:rsidP="00BB010B">
      <w:pPr>
        <w:numPr>
          <w:ilvl w:val="0"/>
          <w:numId w:val="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360"/>
        </w:tabs>
        <w:suppressAutoHyphens/>
        <w:spacing w:before="120" w:after="120" w:line="240" w:lineRule="exact"/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Barevnost – dodání </w:t>
      </w:r>
      <w:r w:rsidRPr="00584A5B">
        <w:rPr>
          <w:rFonts w:cs="Arial"/>
          <w:szCs w:val="24"/>
        </w:rPr>
        <w:t>vzorkovnice nabí</w:t>
      </w:r>
      <w:r>
        <w:rPr>
          <w:rFonts w:cs="Arial"/>
          <w:szCs w:val="24"/>
        </w:rPr>
        <w:t>zených PVC, linolea</w:t>
      </w:r>
      <w:r w:rsidRPr="00584A5B">
        <w:rPr>
          <w:rFonts w:cs="Arial"/>
          <w:szCs w:val="24"/>
        </w:rPr>
        <w:t>, která musí obsahovat, minimálně 5 základních barev - modrá, červená, zelená, šedá, hnědá v jednobarevném provedení (další nabídnuté barvy a kombinace barev (vzory) v dodaném vzorníku bude dodavatel dodávat za stejné ceny)</w:t>
      </w:r>
    </w:p>
    <w:p w14:paraId="33C0C76A" w14:textId="77777777" w:rsidR="00F60A7E" w:rsidRDefault="009F1268"/>
    <w:sectPr w:rsidR="00F60A7E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C0C76D" w14:textId="77777777" w:rsidR="004C79B6" w:rsidRDefault="004C79B6" w:rsidP="00E37086">
      <w:pPr>
        <w:spacing w:line="240" w:lineRule="auto"/>
      </w:pPr>
      <w:r>
        <w:separator/>
      </w:r>
    </w:p>
  </w:endnote>
  <w:endnote w:type="continuationSeparator" w:id="0">
    <w:p w14:paraId="33C0C76E" w14:textId="77777777" w:rsidR="004C79B6" w:rsidRDefault="004C79B6" w:rsidP="00E370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C0C76B" w14:textId="77777777" w:rsidR="004C79B6" w:rsidRDefault="004C79B6" w:rsidP="00E37086">
      <w:pPr>
        <w:spacing w:line="240" w:lineRule="auto"/>
      </w:pPr>
      <w:r>
        <w:separator/>
      </w:r>
    </w:p>
  </w:footnote>
  <w:footnote w:type="continuationSeparator" w:id="0">
    <w:p w14:paraId="33C0C76C" w14:textId="77777777" w:rsidR="004C79B6" w:rsidRDefault="004C79B6" w:rsidP="00E3708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C0C76F" w14:textId="77777777" w:rsidR="00E37086" w:rsidRDefault="00E37086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33C0C770" wp14:editId="33C0C771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2770" cy="395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126EE2"/>
    <w:multiLevelType w:val="hybridMultilevel"/>
    <w:tmpl w:val="541E69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8C0229"/>
    <w:multiLevelType w:val="hybridMultilevel"/>
    <w:tmpl w:val="153867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E25DE4"/>
    <w:multiLevelType w:val="hybridMultilevel"/>
    <w:tmpl w:val="58B0C7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10B"/>
    <w:rsid w:val="004C79B6"/>
    <w:rsid w:val="00540947"/>
    <w:rsid w:val="009815DB"/>
    <w:rsid w:val="009F1268"/>
    <w:rsid w:val="00BB010B"/>
    <w:rsid w:val="00E37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3C0C749"/>
  <w15:chartTrackingRefBased/>
  <w15:docId w15:val="{32593080-7B07-419A-BC1B-039E514C2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BB010B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eastAsia="Calibri" w:hAnsi="Arial" w:cs="Times New Roman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37086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37086"/>
    <w:rPr>
      <w:rFonts w:ascii="Arial" w:eastAsia="Calibri" w:hAnsi="Arial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E37086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37086"/>
    <w:rPr>
      <w:rFonts w:ascii="Arial" w:eastAsia="Calibri" w:hAnsi="Arial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B2A925285B5AE45984A28D1DC886AD7" ma:contentTypeVersion="" ma:contentTypeDescription="Vytvoří nový dokument" ma:contentTypeScope="" ma:versionID="bbc9300e1dd9b09211b171c290d3d2b2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DD2AC7B-2274-4AD0-8C2C-BBDE4FC38157}"/>
</file>

<file path=customXml/itemProps2.xml><?xml version="1.0" encoding="utf-8"?>
<ds:datastoreItem xmlns:ds="http://schemas.openxmlformats.org/officeDocument/2006/customXml" ds:itemID="{8D52B92F-5578-4F14-A9F7-B8F9EBC53B9A}"/>
</file>

<file path=customXml/itemProps3.xml><?xml version="1.0" encoding="utf-8"?>
<ds:datastoreItem xmlns:ds="http://schemas.openxmlformats.org/officeDocument/2006/customXml" ds:itemID="{F108CEF3-5294-4FC4-BEB9-BC05BAAD272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Plešner Tomáš</dc:creator>
  <cp:keywords/>
  <dc:description/>
  <cp:lastModifiedBy>Štěpánková Martina</cp:lastModifiedBy>
  <cp:revision>3</cp:revision>
  <dcterms:created xsi:type="dcterms:W3CDTF">2020-03-20T15:55:00Z</dcterms:created>
  <dcterms:modified xsi:type="dcterms:W3CDTF">2020-05-14T16:40:00Z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0x010100AB2A925285B5AE45984A28D1DC886AD7</vt:lpwstr>
  </property>
</Properties>
</file>